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974"/>
      </w:tblGrid>
      <w:tr>
        <w:trPr>
          <w:trHeight w:val="851"/>
        </w:trPr>
        <w:tc>
          <w:tcPr>
            <w:tcW w:w="3348" w:type="dxa"/>
            <w:tcBorders>
              <w:top w:val="nil"/>
              <w:left w:val="nil"/>
              <w:bottom w:val="nil"/>
              <w:right w:val="nil"/>
              <w:tl2br w:val="nil"/>
              <w:tr2bl w:val="nil"/>
            </w:tcBorders>
            <w:tcMar>
              <w:top w:w="0" w:type="dxa"/>
              <w:left w:w="108" w:type="dxa"/>
              <w:bottom w:w="0" w:type="dxa"/>
              <w:right w:w="108" w:type="dxa"/>
            </w:tcMar>
          </w:tcPr>
          <w:bookmarkStart w:id="0" w:name="_GoBack"/>
          <w:bookmarkEnd w:id="0"/>
          <w:p>
            <w:pPr>
              <w:spacing w:before="120"/>
              <w:jc w:val="center"/>
              <w:rPr>
                <w:sz w:val="26"/>
                <w:szCs w:val="26"/>
                <w:lang w:val="en-US"/>
              </w:rPr>
            </w:pPr>
            <w:r>
              <w:rPr>
                <w:b/>
                <w:bCs/>
                <w:noProof/>
                <w:sz w:val="26"/>
                <w:szCs w:val="26"/>
                <w:lang w:val="en-US" w:eastAsia="en-US"/>
              </w:rPr>
              <mc:AlternateContent>
                <mc:Choice Requires="wps">
                  <w:drawing>
                    <wp:anchor distT="0" distB="0" distL="114300" distR="114300" simplePos="0" relativeHeight="251660288" behindDoc="0" locked="0" layoutInCell="1" allowOverlap="1">
                      <wp:simplePos x="0" y="0"/>
                      <wp:positionH relativeFrom="column">
                        <wp:posOffset>481965</wp:posOffset>
                      </wp:positionH>
                      <wp:positionV relativeFrom="paragraph">
                        <wp:posOffset>489585</wp:posOffset>
                      </wp:positionV>
                      <wp:extent cx="1019175" cy="0"/>
                      <wp:effectExtent l="9525" t="9525" r="9525"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3D1032F" id="_x0000_t32" coordsize="21600,21600" o:spt="32" o:oned="t" path="m,l21600,21600e" filled="f">
                      <v:path arrowok="t" fillok="f" o:connecttype="none"/>
                      <o:lock v:ext="edit" shapetype="t"/>
                    </v:shapetype>
                    <v:shape id="Straight Arrow Connector 6" o:spid="_x0000_s1026" type="#_x0000_t32" style="position:absolute;margin-left:37.95pt;margin-top:38.55pt;width:8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"/>
                  </w:pict>
                </mc:Fallback>
              </mc:AlternateContent>
            </w:r>
            <w:r>
              <w:rPr>
                <w:b/>
                <w:bCs/>
                <w:sz w:val="26"/>
                <w:szCs w:val="26"/>
                <w:lang w:val="en-US"/>
              </w:rPr>
              <w:t>HỘI ĐỒNG NHÂN DÂN TỈNH HÀ TĨNH</w:t>
            </w:r>
            <w:r>
              <w:rPr>
                <w:b/>
                <w:bCs/>
                <w:sz w:val="26"/>
                <w:szCs w:val="26"/>
              </w:rPr>
              <w:br/>
            </w:r>
          </w:p>
        </w:tc>
        <w:tc>
          <w:tcPr>
            <w:tcW w:w="5974" w:type="dxa"/>
            <w:tcBorders>
              <w:top w:val="nil"/>
              <w:left w:val="nil"/>
              <w:bottom w:val="nil"/>
              <w:right w:val="nil"/>
              <w:tl2br w:val="nil"/>
              <w:tr2bl w:val="nil"/>
            </w:tcBorders>
            <w:tcMar>
              <w:top w:w="0" w:type="dxa"/>
              <w:left w:w="108" w:type="dxa"/>
              <w:bottom w:w="0" w:type="dxa"/>
              <w:right w:w="108" w:type="dxa"/>
            </w:tcMar>
          </w:tcPr>
          <w:p>
            <w:pPr>
              <w:shd w:val="solid" w:color="FFFFFF" w:fill="auto"/>
              <w:spacing w:before="120"/>
              <w:jc w:val="center"/>
              <w:rPr>
                <w:sz w:val="26"/>
                <w:szCs w:val="26"/>
              </w:rPr>
            </w:pPr>
            <w:r>
              <w:rPr>
                <w:b/>
                <w:bCs/>
                <w:noProof/>
                <w:sz w:val="26"/>
                <w:szCs w:val="26"/>
                <w:lang w:val="en-US" w:eastAsia="en-US"/>
              </w:rPr>
              <mc:AlternateContent>
                <mc:Choice Requires="wps">
                  <w:drawing>
                    <wp:anchor distT="0" distB="0" distL="114300" distR="114300" simplePos="0" relativeHeight="251661312" behindDoc="0" locked="0" layoutInCell="1" allowOverlap="1">
                      <wp:simplePos x="0" y="0"/>
                      <wp:positionH relativeFrom="column">
                        <wp:posOffset>803910</wp:posOffset>
                      </wp:positionH>
                      <wp:positionV relativeFrom="paragraph">
                        <wp:posOffset>508635</wp:posOffset>
                      </wp:positionV>
                      <wp:extent cx="2047875" cy="0"/>
                      <wp:effectExtent l="9525" t="9525" r="9525" b="952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597C9A8" id="Straight Arrow Connector 5" o:spid="_x0000_s1026" type="#_x0000_t32" style="position:absolute;margin-left:63.3pt;margin-top:40.05pt;width:161.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"/>
                  </w:pict>
                </mc:Fallback>
              </mc:AlternateContent>
            </w:r>
            <w:r>
              <w:rPr>
                <w:b/>
                <w:bCs/>
                <w:sz w:val="26"/>
                <w:szCs w:val="26"/>
              </w:rPr>
              <w:t>CỘNG HÒA XÃ HỘI CHỦ NGHĨA VIỆT NAM</w:t>
            </w:r>
            <w:r>
              <w:rPr>
                <w:b/>
                <w:bCs/>
                <w:sz w:val="26"/>
                <w:szCs w:val="26"/>
              </w:rPr>
              <w:br/>
            </w:r>
            <w:r>
              <w:rPr>
                <w:b/>
                <w:bCs/>
                <w:sz w:val="28"/>
                <w:szCs w:val="28"/>
              </w:rPr>
              <w:t>Độc lập - Tự do - Hạnh phúc</w:t>
            </w:r>
            <w:r>
              <w:rPr>
                <w:b/>
                <w:bCs/>
                <w:sz w:val="26"/>
                <w:szCs w:val="26"/>
              </w:rPr>
              <w:t xml:space="preserve"> </w:t>
            </w:r>
          </w:p>
        </w:tc>
      </w:tr>
      <w:tr>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pPr>
              <w:shd w:val="solid" w:color="FFFFFF" w:fill="auto"/>
              <w:spacing w:before="120"/>
              <w:jc w:val="center"/>
              <w:rPr>
                <w:sz w:val="26"/>
                <w:szCs w:val="26"/>
                <w:lang w:val="en-US"/>
              </w:rPr>
            </w:pPr>
            <w:r>
              <w:rPr>
                <w:sz w:val="26"/>
                <w:szCs w:val="26"/>
              </w:rPr>
              <w:t xml:space="preserve">Số: </w:t>
            </w:r>
            <w:r>
              <w:rPr>
                <w:sz w:val="26"/>
                <w:szCs w:val="26"/>
                <w:lang w:val="en-US"/>
              </w:rPr>
              <w:t xml:space="preserve">          </w:t>
            </w:r>
            <w:r>
              <w:rPr>
                <w:sz w:val="26"/>
                <w:szCs w:val="26"/>
              </w:rPr>
              <w:t>/</w:t>
            </w:r>
            <w:r>
              <w:rPr>
                <w:sz w:val="26"/>
                <w:szCs w:val="26"/>
                <w:lang w:val="en-US"/>
              </w:rPr>
              <w:t>NQ</w:t>
            </w:r>
            <w:r>
              <w:rPr>
                <w:sz w:val="26"/>
                <w:szCs w:val="26"/>
              </w:rPr>
              <w:t>-</w:t>
            </w:r>
            <w:r>
              <w:rPr>
                <w:sz w:val="26"/>
                <w:szCs w:val="26"/>
                <w:lang w:val="en-US"/>
              </w:rPr>
              <w:t>HĐND</w:t>
            </w:r>
          </w:p>
        </w:tc>
        <w:tc>
          <w:tcPr>
            <w:tcW w:w="5974" w:type="dxa"/>
            <w:tcBorders>
              <w:top w:val="nil"/>
              <w:left w:val="nil"/>
              <w:bottom w:val="nil"/>
              <w:right w:val="nil"/>
              <w:tl2br w:val="nil"/>
              <w:tr2bl w:val="nil"/>
            </w:tcBorders>
            <w:tcMar>
              <w:top w:w="0" w:type="dxa"/>
              <w:left w:w="108" w:type="dxa"/>
              <w:bottom w:w="0" w:type="dxa"/>
              <w:right w:w="108" w:type="dxa"/>
            </w:tcMar>
          </w:tcPr>
          <w:p>
            <w:pPr>
              <w:shd w:val="solid" w:color="FFFFFF" w:fill="auto"/>
              <w:spacing w:before="120"/>
              <w:jc w:val="right"/>
              <w:rPr>
                <w:sz w:val="28"/>
                <w:szCs w:val="28"/>
                <w:lang w:val="en-US"/>
              </w:rPr>
            </w:pPr>
            <w:r>
              <w:rPr>
                <w:i/>
                <w:iCs/>
                <w:sz w:val="28"/>
                <w:szCs w:val="28"/>
              </w:rPr>
              <w:t xml:space="preserve">Hà Tĩnh, ngày </w:t>
            </w:r>
            <w:r>
              <w:rPr>
                <w:i/>
                <w:iCs/>
                <w:sz w:val="28"/>
                <w:szCs w:val="28"/>
                <w:lang w:val="en-US"/>
              </w:rPr>
              <w:t xml:space="preserve">      </w:t>
            </w:r>
            <w:r>
              <w:rPr>
                <w:i/>
                <w:iCs/>
                <w:sz w:val="28"/>
                <w:szCs w:val="28"/>
              </w:rPr>
              <w:t xml:space="preserve"> tháng </w:t>
            </w:r>
            <w:r>
              <w:rPr>
                <w:i/>
                <w:iCs/>
                <w:sz w:val="28"/>
                <w:szCs w:val="28"/>
                <w:lang w:val="en-US"/>
              </w:rPr>
              <w:t xml:space="preserve">     </w:t>
            </w:r>
            <w:r>
              <w:rPr>
                <w:i/>
                <w:iCs/>
                <w:sz w:val="28"/>
                <w:szCs w:val="28"/>
              </w:rPr>
              <w:t xml:space="preserve"> năm 202</w:t>
            </w:r>
            <w:r>
              <w:rPr>
                <w:i/>
                <w:iCs/>
                <w:sz w:val="28"/>
                <w:szCs w:val="28"/>
                <w:lang w:val="en-US"/>
              </w:rPr>
              <w:t>5</w:t>
            </w:r>
          </w:p>
        </w:tc>
      </w:tr>
    </w:tbl>
    <w:p>
      <w:pPr>
        <w:jc w:val="center"/>
        <w:rPr>
          <w:b/>
          <w:bCs/>
          <w:sz w:val="28"/>
          <w:szCs w:val="28"/>
          <w:lang w:val="en-US"/>
        </w:rPr>
      </w:pPr>
    </w:p>
    <w:p>
      <w:pPr>
        <w:jc w:val="center"/>
        <w:rPr>
          <w:b/>
          <w:bCs/>
          <w:sz w:val="28"/>
          <w:szCs w:val="28"/>
          <w:lang w:val="en-US"/>
        </w:rPr>
      </w:pPr>
      <w:r>
        <w:rPr>
          <w:b/>
          <w:bCs/>
          <w:sz w:val="28"/>
          <w:szCs w:val="28"/>
          <w:lang w:val="en-US"/>
        </w:rPr>
        <w:t>NGHỊ QUYẾT</w:t>
      </w:r>
    </w:p>
    <w:p>
      <w:pPr>
        <w:jc w:val="center"/>
        <w:rPr>
          <w:b/>
          <w:bCs/>
          <w:sz w:val="28"/>
          <w:szCs w:val="28"/>
          <w:lang w:val="en-US"/>
        </w:rPr>
      </w:pPr>
      <w:r>
        <w:rPr>
          <w:b/>
          <w:bCs/>
          <w:sz w:val="28"/>
          <w:szCs w:val="28"/>
          <w:lang w:val="en-US"/>
        </w:rPr>
        <w:t xml:space="preserve">Bãi bỏ Nghị quyết số 175/NQ-HĐNDngày 15/12/2019 </w:t>
      </w:r>
      <w:r>
        <w:rPr>
          <w:b/>
          <w:bCs/>
          <w:sz w:val="28"/>
          <w:szCs w:val="28"/>
        </w:rPr>
        <w:t xml:space="preserve">của HĐND tỉnh </w:t>
      </w:r>
      <w:r>
        <w:rPr>
          <w:b/>
          <w:bCs/>
          <w:sz w:val="28"/>
          <w:szCs w:val="28"/>
          <w:lang w:val="en-US"/>
        </w:rPr>
        <w:t>về thực hiện cập nhật, chỉnh lý bản đồ và hồ sơ địa chính trên địa bàn tỉnh Hà Tĩnh giai đoạn 2020-2025 và những năm tiếp theo</w:t>
      </w:r>
    </w:p>
    <w:p>
      <w:pPr>
        <w:jc w:val="center"/>
        <w:rPr>
          <w:b/>
          <w:bCs/>
          <w:sz w:val="28"/>
          <w:szCs w:val="28"/>
          <w:lang w:val="en-US"/>
        </w:rPr>
      </w:pPr>
      <w:r>
        <w:rPr>
          <w:b/>
          <w:bCs/>
          <w:noProof/>
          <w:sz w:val="28"/>
          <w:szCs w:val="28"/>
          <w:lang w:val="en-US" w:eastAsia="en-US"/>
        </w:rPr>
        <mc:AlternateContent>
          <mc:Choice Requires="wps">
            <w:drawing>
              <wp:anchor distT="0" distB="0" distL="114300" distR="114300" simplePos="0" relativeHeight="251659264" behindDoc="0" locked="0" layoutInCell="1" allowOverlap="1">
                <wp:simplePos x="0" y="0"/>
                <wp:positionH relativeFrom="margin">
                  <wp:posOffset>2065655</wp:posOffset>
                </wp:positionH>
                <wp:positionV relativeFrom="paragraph">
                  <wp:posOffset>31701</wp:posOffset>
                </wp:positionV>
                <wp:extent cx="1628775" cy="0"/>
                <wp:effectExtent l="0" t="0" r="2857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162.65pt;margin-top:2.5pt;width:128.25pt;height:0;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BjJQIAAEo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">
                <w10:wrap anchorx="margin"/>
              </v:shape>
            </w:pict>
          </mc:Fallback>
        </mc:AlternateContent>
      </w:r>
    </w:p>
    <w:p>
      <w:pPr>
        <w:jc w:val="center"/>
        <w:rPr>
          <w:b/>
          <w:bCs/>
          <w:sz w:val="26"/>
          <w:szCs w:val="26"/>
          <w:lang w:val="en-US"/>
        </w:rPr>
      </w:pPr>
    </w:p>
    <w:p>
      <w:pPr>
        <w:jc w:val="center"/>
        <w:rPr>
          <w:b/>
          <w:bCs/>
          <w:noProof/>
          <w:sz w:val="28"/>
          <w:szCs w:val="28"/>
          <w:lang w:val="en-US" w:eastAsia="en-US"/>
        </w:rPr>
      </w:pPr>
      <w:r>
        <w:rPr>
          <w:b/>
          <w:bCs/>
          <w:sz w:val="26"/>
          <w:szCs w:val="26"/>
          <w:lang w:val="en-US"/>
        </w:rPr>
        <w:t>HỘI ĐỒNG NHÂN DÂN TỈNH HÀ TĨNH</w:t>
      </w:r>
      <w:r>
        <w:rPr>
          <w:b/>
          <w:bCs/>
          <w:noProof/>
          <w:sz w:val="28"/>
          <w:szCs w:val="28"/>
          <w:lang w:val="en-US" w:eastAsia="en-US"/>
        </w:rPr>
        <w:t xml:space="preserve"> </w:t>
      </w:r>
    </w:p>
    <w:p>
      <w:pPr>
        <w:jc w:val="center"/>
        <w:rPr>
          <w:b/>
          <w:bCs/>
          <w:sz w:val="28"/>
          <w:szCs w:val="28"/>
          <w:lang w:val="en-US"/>
        </w:rPr>
      </w:pPr>
    </w:p>
    <w:p>
      <w:pPr>
        <w:spacing w:before="60" w:after="60" w:line="340" w:lineRule="exact"/>
        <w:ind w:firstLine="709"/>
        <w:jc w:val="both"/>
        <w:rPr>
          <w:i/>
          <w:iCs/>
          <w:sz w:val="28"/>
          <w:szCs w:val="28"/>
          <w:lang w:val="en-US"/>
        </w:rPr>
      </w:pPr>
      <w:bookmarkStart w:id="1" w:name="dieu_1"/>
      <w:r>
        <w:rPr>
          <w:i/>
          <w:iCs/>
          <w:sz w:val="28"/>
          <w:szCs w:val="28"/>
        </w:rPr>
        <w:t xml:space="preserve">Căn cứ Luật Tổ chức chính quyền địa phương </w:t>
      </w:r>
      <w:r>
        <w:rPr>
          <w:i/>
          <w:iCs/>
          <w:sz w:val="28"/>
          <w:szCs w:val="28"/>
          <w:lang w:val="en-US"/>
        </w:rPr>
        <w:t>số 72/2025/QH15</w:t>
      </w:r>
      <w:r>
        <w:rPr>
          <w:i/>
          <w:iCs/>
          <w:sz w:val="28"/>
          <w:szCs w:val="28"/>
        </w:rPr>
        <w:t>;</w:t>
      </w:r>
    </w:p>
    <w:p>
      <w:pPr>
        <w:spacing w:before="60" w:after="60" w:line="340" w:lineRule="exact"/>
        <w:ind w:firstLine="709"/>
        <w:jc w:val="both"/>
        <w:rPr>
          <w:bCs/>
          <w:sz w:val="28"/>
          <w:szCs w:val="28"/>
        </w:rPr>
      </w:pPr>
      <w:r>
        <w:rPr>
          <w:bCs/>
          <w:i/>
          <w:sz w:val="28"/>
          <w:szCs w:val="28"/>
        </w:rPr>
        <w:t>Căn cứ Luật Đất đai ngày 18 tháng 01 năm 2024; Luật sửa đổi, bổ sung một số điều của Luật Đất đai số 31/2024/QH15, Luật Nhà ở số 27/2023/QH15, Luật Kinh doanh bất động sản số 29/2023/QH15 và Luật Các tổ chức tín dụng số 32/2024/QH15 ngày 29 tháng 6 năm 2024</w:t>
      </w:r>
      <w:r>
        <w:rPr>
          <w:bCs/>
          <w:sz w:val="28"/>
          <w:szCs w:val="28"/>
        </w:rPr>
        <w:t>;</w:t>
      </w:r>
    </w:p>
    <w:p>
      <w:pPr>
        <w:spacing w:before="60" w:after="60" w:line="340" w:lineRule="exact"/>
        <w:ind w:firstLine="709"/>
        <w:jc w:val="both"/>
        <w:rPr>
          <w:rStyle w:val="fontstyle01"/>
          <w:rFonts w:ascii="Times New Roman" w:hAnsi="Times New Roman"/>
        </w:rPr>
      </w:pPr>
      <w:r>
        <w:rPr>
          <w:rStyle w:val="fontstyle01"/>
          <w:rFonts w:ascii="Times New Roman" w:hAnsi="Times New Roman"/>
        </w:rPr>
        <w:t>Căn cứ các Nghị định của Chính phủ: số 101/2024/NĐ-CP ngày 29/7/2024 quy định về điều tra cơ bản đất đai; đăng ký, cấp Giấy chứng nhận quyền sử dụng đất, quyền sở hữu tài sản gắn liền với đất và Hệ thống thông tin đất đai; Nghị định số 102/2024/NĐ-CP</w:t>
      </w:r>
      <w:r>
        <w:rPr>
          <w:i/>
          <w:iCs/>
          <w:color w:val="000000"/>
          <w:sz w:val="28"/>
          <w:szCs w:val="28"/>
        </w:rPr>
        <w:t xml:space="preserve"> </w:t>
      </w:r>
      <w:r>
        <w:rPr>
          <w:rStyle w:val="fontstyle01"/>
          <w:rFonts w:ascii="Times New Roman" w:hAnsi="Times New Roman"/>
        </w:rPr>
        <w:t>ngày 30/7/2024 quy định chi tiết thi hành một số điều của Luật</w:t>
      </w:r>
      <w:r>
        <w:rPr>
          <w:i/>
          <w:iCs/>
          <w:color w:val="000000"/>
          <w:sz w:val="28"/>
          <w:szCs w:val="28"/>
        </w:rPr>
        <w:t xml:space="preserve"> </w:t>
      </w:r>
      <w:r>
        <w:rPr>
          <w:rStyle w:val="fontstyle01"/>
          <w:rFonts w:ascii="Times New Roman" w:hAnsi="Times New Roman"/>
        </w:rPr>
        <w:t>Đất đai; số 151/2025/NĐ-CP ngày 12/6/2025 quy định về phân định thẩm quyền của chính quyền địa phương 2 cấp, phân quyền, phân cấp trong lĩnh vực đất đai;</w:t>
      </w:r>
    </w:p>
    <w:p>
      <w:pPr>
        <w:spacing w:before="60" w:after="60" w:line="340" w:lineRule="exact"/>
        <w:ind w:firstLine="709"/>
        <w:jc w:val="both"/>
        <w:rPr>
          <w:i/>
          <w:iCs/>
          <w:sz w:val="28"/>
          <w:szCs w:val="28"/>
        </w:rPr>
      </w:pPr>
      <w:r>
        <w:rPr>
          <w:rStyle w:val="fontstyle01"/>
          <w:rFonts w:ascii="Times New Roman" w:hAnsi="Times New Roman"/>
        </w:rPr>
        <w:t>Căn cứ các Thông tư của Bộ Tài nguyên và Môi trường (nay là Bộ Nông nghiệp và Môi trường) số: 10/2024/TT-BTNMT ngày 31/7/2024 quy định về Hồ sơ địa chính, Giấy chứng nhận quyền sử dụng đất, quyền sở hữu tài sản gắn liền với đất; số 25/2024/TT-BTNMT ngày 26/11/2024 quy định về quy trình xây dựng cơ sở dữ liệu quốc gia về đất đai; số 26/2024/TT-BTNMT ngày 26/11/2024 quy định kỹ thuật về đo đạc, lập bản đồ địa chính; số 23/2025/TT-BNNMT ngày 20/6/2025 quy định phân cấp, phân định thẩm quyền quản lý nhà nước trong lĩnh vực đất đai;</w:t>
      </w:r>
    </w:p>
    <w:p>
      <w:pPr>
        <w:spacing w:before="60" w:after="60" w:line="340" w:lineRule="exact"/>
        <w:ind w:firstLine="709"/>
        <w:jc w:val="both"/>
        <w:rPr>
          <w:bCs/>
          <w:i/>
          <w:sz w:val="28"/>
          <w:szCs w:val="28"/>
        </w:rPr>
      </w:pPr>
      <w:r>
        <w:rPr>
          <w:i/>
          <w:iCs/>
          <w:sz w:val="28"/>
          <w:szCs w:val="28"/>
        </w:rPr>
        <w:t>Xét Tờ trình số      /TTr-UBND ngày    tháng      năm 2025 của Ủy ban nhân dân tỉnh về việc đề nghị ban hành Nghị quyết bãi bỏ</w:t>
      </w:r>
      <w:r>
        <w:rPr>
          <w:b/>
          <w:bCs/>
          <w:spacing w:val="-4"/>
          <w:szCs w:val="28"/>
        </w:rPr>
        <w:t xml:space="preserve"> </w:t>
      </w:r>
      <w:r>
        <w:rPr>
          <w:bCs/>
          <w:i/>
          <w:sz w:val="28"/>
          <w:szCs w:val="28"/>
        </w:rPr>
        <w:t>Nghị quyết số 175/NQ-HĐND  ngày 15/12/2019 của HĐND tỉnh về thực hiện cập nhật, chỉnh lý bản đồ và hồ sơ địa chính trên địa bàn tỉnh Hà Tĩnh giai đoạn 2020-2025  và những năm tiếp theo</w:t>
      </w:r>
      <w:r>
        <w:rPr>
          <w:i/>
          <w:iCs/>
          <w:sz w:val="28"/>
          <w:szCs w:val="28"/>
        </w:rPr>
        <w:t>; Báo cáo thẩm tra của Ban Kinh tế - Ngân sách Hội đồng nhân dân tỉnh; ý kiến thảo luận của đại biểu Hội đồng nhân dân tỉnh tại kỳ họp</w:t>
      </w:r>
      <w:r>
        <w:rPr>
          <w:i/>
          <w:iCs/>
          <w:color w:val="000000"/>
          <w:sz w:val="28"/>
          <w:szCs w:val="28"/>
          <w:shd w:val="clear" w:color="auto" w:fill="FFFFFF"/>
        </w:rPr>
        <w:t>.</w:t>
      </w:r>
    </w:p>
    <w:p>
      <w:pPr>
        <w:spacing w:before="60" w:after="60" w:line="340" w:lineRule="exact"/>
        <w:ind w:firstLine="709"/>
        <w:jc w:val="both"/>
        <w:rPr>
          <w:bCs/>
          <w:i/>
          <w:sz w:val="28"/>
          <w:szCs w:val="28"/>
        </w:rPr>
      </w:pPr>
      <w:r>
        <w:rPr>
          <w:i/>
          <w:iCs/>
          <w:color w:val="000000"/>
          <w:sz w:val="28"/>
          <w:szCs w:val="28"/>
          <w:shd w:val="clear" w:color="auto" w:fill="FFFFFF"/>
        </w:rPr>
        <w:t xml:space="preserve">Hội đồng nhân dân tỉnh ban hành Nghị quyết </w:t>
      </w:r>
      <w:r>
        <w:rPr>
          <w:i/>
          <w:iCs/>
          <w:sz w:val="28"/>
          <w:szCs w:val="28"/>
          <w:lang w:val="en-US"/>
        </w:rPr>
        <w:t xml:space="preserve">bãi bỏ </w:t>
      </w:r>
      <w:r>
        <w:rPr>
          <w:bCs/>
          <w:i/>
          <w:sz w:val="28"/>
          <w:szCs w:val="28"/>
        </w:rPr>
        <w:t xml:space="preserve">Nghị quyết số 175/NQ-HĐND ngày 15/12/2019 của HĐND tỉnh về thực hiện cập nhật, chỉnh lý bản đồ </w:t>
      </w:r>
      <w:r>
        <w:rPr>
          <w:bCs/>
          <w:i/>
          <w:sz w:val="28"/>
          <w:szCs w:val="28"/>
        </w:rPr>
        <w:lastRenderedPageBreak/>
        <w:t>và hồ sơ địa chính trên địa bàn tỉnh Hà Tĩnh giai đoạn 2020-2025 và những năm tiếp theo.</w:t>
      </w:r>
    </w:p>
    <w:p>
      <w:pPr>
        <w:spacing w:before="20" w:after="20"/>
        <w:ind w:firstLine="709"/>
        <w:jc w:val="center"/>
        <w:rPr>
          <w:b/>
          <w:color w:val="000000"/>
          <w:sz w:val="28"/>
          <w:szCs w:val="28"/>
        </w:rPr>
      </w:pPr>
    </w:p>
    <w:p>
      <w:pPr>
        <w:spacing w:before="20" w:after="20"/>
        <w:jc w:val="center"/>
        <w:rPr>
          <w:b/>
          <w:color w:val="000000"/>
          <w:sz w:val="28"/>
          <w:szCs w:val="28"/>
        </w:rPr>
      </w:pPr>
      <w:r>
        <w:rPr>
          <w:b/>
          <w:color w:val="000000"/>
          <w:sz w:val="28"/>
          <w:szCs w:val="28"/>
        </w:rPr>
        <w:t>QUYẾT NGHỊ:</w:t>
      </w:r>
    </w:p>
    <w:p>
      <w:pPr>
        <w:spacing w:before="20" w:after="20"/>
        <w:ind w:firstLine="709"/>
        <w:jc w:val="center"/>
        <w:rPr>
          <w:b/>
          <w:bCs/>
          <w:i/>
          <w:sz w:val="28"/>
          <w:szCs w:val="28"/>
        </w:rPr>
      </w:pPr>
    </w:p>
    <w:p>
      <w:pPr>
        <w:spacing w:before="20" w:after="20"/>
        <w:ind w:firstLine="709"/>
        <w:jc w:val="both"/>
        <w:rPr>
          <w:sz w:val="28"/>
          <w:szCs w:val="28"/>
        </w:rPr>
      </w:pPr>
      <w:r>
        <w:rPr>
          <w:b/>
          <w:bCs/>
          <w:sz w:val="28"/>
          <w:szCs w:val="28"/>
        </w:rPr>
        <w:t>Điều 1.</w:t>
      </w:r>
      <w:bookmarkEnd w:id="1"/>
      <w:r>
        <w:rPr>
          <w:b/>
          <w:sz w:val="28"/>
          <w:szCs w:val="28"/>
        </w:rPr>
        <w:t xml:space="preserve"> </w:t>
      </w:r>
      <w:r>
        <w:rPr>
          <w:sz w:val="28"/>
          <w:szCs w:val="28"/>
        </w:rPr>
        <w:t>Bãi bỏ</w:t>
      </w:r>
      <w:r>
        <w:rPr>
          <w:sz w:val="28"/>
          <w:szCs w:val="28"/>
          <w:lang w:val="en-US"/>
        </w:rPr>
        <w:t xml:space="preserve"> toàn bộ</w:t>
      </w:r>
      <w:r>
        <w:rPr>
          <w:sz w:val="28"/>
          <w:szCs w:val="28"/>
        </w:rPr>
        <w:t xml:space="preserve"> Nghị quyết số 175/NQ-HĐND ngày 15/12/2019 của Hội đồng nhân dân tỉnh về thực hiện cập nhật, chỉnh lý bản đồ và hồ sơ địa chính trên </w:t>
      </w:r>
      <w:r>
        <w:rPr>
          <w:sz w:val="28"/>
          <w:szCs w:val="28"/>
          <w:lang w:val="en-US"/>
        </w:rPr>
        <w:t>đ</w:t>
      </w:r>
      <w:r>
        <w:rPr>
          <w:sz w:val="28"/>
          <w:szCs w:val="28"/>
        </w:rPr>
        <w:t>ịa bàn tỉnh Hà Tĩnh giai đoạn 2020-2025 và những năm tiếp theo.</w:t>
      </w:r>
    </w:p>
    <w:p>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line="340" w:lineRule="exact"/>
        <w:ind w:firstLine="709"/>
        <w:contextualSpacing/>
        <w:jc w:val="both"/>
        <w:rPr>
          <w:sz w:val="28"/>
          <w:szCs w:val="28"/>
          <w:lang w:val="en-US"/>
        </w:rPr>
      </w:pPr>
      <w:r>
        <w:rPr>
          <w:b/>
          <w:bCs/>
          <w:sz w:val="28"/>
          <w:szCs w:val="28"/>
        </w:rPr>
        <w:t xml:space="preserve">Điều 2. </w:t>
      </w:r>
      <w:r>
        <w:rPr>
          <w:sz w:val="28"/>
          <w:szCs w:val="28"/>
        </w:rPr>
        <w:t>Giao UBND tỉnh</w:t>
      </w:r>
      <w:r>
        <w:rPr>
          <w:sz w:val="28"/>
          <w:szCs w:val="28"/>
          <w:lang w:val="en-US"/>
        </w:rPr>
        <w:t xml:space="preserve"> t</w:t>
      </w:r>
      <w:r>
        <w:rPr>
          <w:sz w:val="28"/>
          <w:szCs w:val="28"/>
        </w:rPr>
        <w:t xml:space="preserve">rên cơ sở kết quả thực hiện Nghị quyết số 175/NQ-HĐND </w:t>
      </w:r>
      <w:r>
        <w:rPr>
          <w:bCs/>
          <w:sz w:val="28"/>
          <w:szCs w:val="28"/>
        </w:rPr>
        <w:t>ngày 15/12/2019</w:t>
      </w:r>
      <w:r>
        <w:rPr>
          <w:bCs/>
          <w:i/>
          <w:sz w:val="28"/>
          <w:szCs w:val="28"/>
        </w:rPr>
        <w:t xml:space="preserve"> </w:t>
      </w:r>
      <w:r>
        <w:rPr>
          <w:sz w:val="28"/>
          <w:szCs w:val="28"/>
        </w:rPr>
        <w:t>đến thời điểm hiện tại, xác định khối lượng, nhiệm vụ cần tiếp tục triển khai trong năm 2026 để đề xuất bố trí kinh phí trong dự toán ngân sách năm 2026. Đồng thời, căn cứ quy định tại khoản 3 Điều 50 Luật Đất đai năm 2024, xây dựng kế hoạch tổng thể gắn với đơn vị hành chính cấp xã mới, tổ chức thực hiện việc đo đạc, lập, chỉnh lý, quản lý bản đồ địa chính của tỉnh Hà Tĩnh và cập nhật vào cơ sở dữ liệu quốc gia về đất đai, đảm bảo thẩm quyền và đúng quy định của pháp luật</w:t>
      </w:r>
      <w:r>
        <w:rPr>
          <w:sz w:val="28"/>
          <w:szCs w:val="28"/>
          <w:lang w:val="en-US"/>
        </w:rPr>
        <w:t>.</w:t>
      </w:r>
    </w:p>
    <w:p>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line="340" w:lineRule="exact"/>
        <w:ind w:firstLine="709"/>
        <w:contextualSpacing/>
        <w:jc w:val="both"/>
        <w:rPr>
          <w:b/>
          <w:bCs/>
          <w:sz w:val="28"/>
          <w:szCs w:val="28"/>
          <w:lang w:val="en-US"/>
        </w:rPr>
      </w:pPr>
      <w:r>
        <w:rPr>
          <w:b/>
          <w:bCs/>
          <w:sz w:val="28"/>
          <w:szCs w:val="28"/>
        </w:rPr>
        <w:t xml:space="preserve">Điều </w:t>
      </w:r>
      <w:r>
        <w:rPr>
          <w:b/>
          <w:bCs/>
          <w:sz w:val="28"/>
          <w:szCs w:val="28"/>
          <w:lang w:val="en-US"/>
        </w:rPr>
        <w:t>3</w:t>
      </w:r>
      <w:r>
        <w:rPr>
          <w:b/>
          <w:bCs/>
          <w:sz w:val="28"/>
          <w:szCs w:val="28"/>
        </w:rPr>
        <w:t xml:space="preserve">. </w:t>
      </w:r>
      <w:r>
        <w:rPr>
          <w:b/>
          <w:bCs/>
          <w:sz w:val="28"/>
          <w:szCs w:val="28"/>
          <w:lang w:val="en-US"/>
        </w:rPr>
        <w:t>Điều khoản thi hành</w:t>
      </w:r>
    </w:p>
    <w:p>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line="340" w:lineRule="exact"/>
        <w:ind w:firstLine="709"/>
        <w:contextualSpacing/>
        <w:jc w:val="both"/>
        <w:rPr>
          <w:bCs/>
          <w:sz w:val="28"/>
          <w:szCs w:val="28"/>
          <w:lang w:val="en-US"/>
        </w:rPr>
      </w:pPr>
      <w:r>
        <w:rPr>
          <w:bCs/>
          <w:sz w:val="28"/>
          <w:szCs w:val="28"/>
          <w:lang w:val="en-US"/>
        </w:rPr>
        <w:t>Nghị quyết này có hiệu lực từ ngày ... tháng ... năm ...</w:t>
      </w:r>
    </w:p>
    <w:p>
      <w:pPr>
        <w:widowControl w:val="0"/>
        <w:pBdr>
          <w:top w:val="dotted" w:sz="4" w:space="0" w:color="FFFFFF"/>
          <w:left w:val="dotted" w:sz="4" w:space="0" w:color="FFFFFF"/>
          <w:bottom w:val="dotted" w:sz="4" w:space="22" w:color="FFFFFF"/>
          <w:right w:val="dotted" w:sz="4" w:space="0" w:color="FFFFFF"/>
        </w:pBdr>
        <w:shd w:val="clear" w:color="auto" w:fill="FFFFFF"/>
        <w:spacing w:before="60" w:line="340" w:lineRule="exact"/>
        <w:ind w:firstLine="709"/>
        <w:contextualSpacing/>
        <w:jc w:val="both"/>
        <w:rPr>
          <w:sz w:val="28"/>
          <w:szCs w:val="28"/>
          <w:shd w:val="solid" w:color="FFFFFF" w:fill="auto"/>
          <w:lang w:val="en-US"/>
        </w:rPr>
      </w:pPr>
      <w:r>
        <w:rPr>
          <w:sz w:val="28"/>
          <w:szCs w:val="28"/>
        </w:rPr>
        <w:t xml:space="preserve">Nghị quyết này đã được Hội đồng nhân dân tỉnh Hà Tĩnh khóa XVIII, kỳ họp thứ … thông qua ngày … tháng </w:t>
      </w:r>
      <w:r>
        <w:rPr>
          <w:sz w:val="28"/>
          <w:szCs w:val="28"/>
          <w:lang w:val="en-US"/>
        </w:rPr>
        <w:t xml:space="preserve">12 </w:t>
      </w:r>
      <w:r>
        <w:rPr>
          <w:sz w:val="28"/>
          <w:szCs w:val="28"/>
        </w:rPr>
        <w:t>năm 2025</w:t>
      </w:r>
      <w:r>
        <w:rPr>
          <w:sz w:val="28"/>
          <w:szCs w:val="28"/>
          <w:lang w:val="en-US"/>
        </w:rPr>
        <w:t>./.</w:t>
      </w:r>
    </w:p>
    <w:tbl>
      <w:tblPr>
        <w:tblW w:w="9639" w:type="dxa"/>
        <w:tblLook w:val="04A0" w:firstRow="1" w:lastRow="0" w:firstColumn="1" w:lastColumn="0" w:noHBand="0" w:noVBand="1"/>
      </w:tblPr>
      <w:tblGrid>
        <w:gridCol w:w="5637"/>
        <w:gridCol w:w="4002"/>
      </w:tblGrid>
      <w:tr>
        <w:tc>
          <w:tcPr>
            <w:tcW w:w="5637" w:type="dxa"/>
          </w:tcPr>
          <w:p>
            <w:pPr>
              <w:spacing w:before="120" w:after="120"/>
              <w:contextualSpacing/>
              <w:jc w:val="both"/>
              <w:rPr>
                <w:b/>
                <w:i/>
              </w:rPr>
            </w:pPr>
            <w:r>
              <w:rPr>
                <w:b/>
                <w:i/>
              </w:rPr>
              <w:t>Nơi nhận:</w:t>
            </w:r>
          </w:p>
          <w:p>
            <w:pPr>
              <w:spacing w:before="120" w:after="120"/>
              <w:contextualSpacing/>
              <w:rPr>
                <w:sz w:val="22"/>
                <w:szCs w:val="22"/>
                <w:shd w:val="clear" w:color="auto" w:fill="FFFFFF"/>
              </w:rPr>
            </w:pPr>
            <w:r>
              <w:rPr>
                <w:sz w:val="22"/>
                <w:szCs w:val="22"/>
                <w:shd w:val="clear" w:color="auto" w:fill="FFFFFF"/>
              </w:rPr>
              <w:t>- Ủy ban Thường vụ Quốc hội;</w:t>
            </w:r>
            <w:r>
              <w:rPr>
                <w:sz w:val="22"/>
                <w:szCs w:val="22"/>
              </w:rPr>
              <w:br/>
            </w:r>
            <w:r>
              <w:rPr>
                <w:sz w:val="22"/>
                <w:szCs w:val="22"/>
                <w:shd w:val="clear" w:color="auto" w:fill="FFFFFF"/>
              </w:rPr>
              <w:t>- Văn phòng Chính phủ;</w:t>
            </w:r>
            <w:r>
              <w:rPr>
                <w:sz w:val="22"/>
                <w:szCs w:val="22"/>
              </w:rPr>
              <w:br/>
            </w:r>
            <w:r>
              <w:rPr>
                <w:sz w:val="22"/>
                <w:szCs w:val="22"/>
                <w:shd w:val="clear" w:color="auto" w:fill="FFFFFF"/>
              </w:rPr>
              <w:t>- Các Bộ: Tài chính, Nông nghiệp và Môi trường;</w:t>
            </w:r>
            <w:r>
              <w:rPr>
                <w:sz w:val="22"/>
                <w:szCs w:val="22"/>
              </w:rPr>
              <w:br/>
            </w:r>
            <w:r>
              <w:rPr>
                <w:sz w:val="22"/>
                <w:szCs w:val="22"/>
                <w:shd w:val="clear" w:color="auto" w:fill="FFFFFF"/>
              </w:rPr>
              <w:t>- Cục Kiểm tra văn bản và Quản lý XLVPHC -Bộ Tư pháp;</w:t>
            </w:r>
            <w:r>
              <w:rPr>
                <w:sz w:val="22"/>
                <w:szCs w:val="22"/>
              </w:rPr>
              <w:br/>
            </w:r>
            <w:r>
              <w:rPr>
                <w:sz w:val="22"/>
                <w:szCs w:val="22"/>
                <w:shd w:val="clear" w:color="auto" w:fill="FFFFFF"/>
              </w:rPr>
              <w:t>- TTr: Tỉnh ủy, HĐND, UBND, UBMTTQVN tỉnh;</w:t>
            </w:r>
            <w:r>
              <w:rPr>
                <w:sz w:val="22"/>
                <w:szCs w:val="22"/>
              </w:rPr>
              <w:br/>
            </w:r>
            <w:r>
              <w:rPr>
                <w:sz w:val="22"/>
                <w:szCs w:val="22"/>
                <w:shd w:val="clear" w:color="auto" w:fill="FFFFFF"/>
              </w:rPr>
              <w:t>- Đại biểu Quốc hội Đoàn Hà Tĩnh;</w:t>
            </w:r>
            <w:r>
              <w:rPr>
                <w:sz w:val="22"/>
                <w:szCs w:val="22"/>
              </w:rPr>
              <w:br/>
            </w:r>
            <w:r>
              <w:rPr>
                <w:sz w:val="22"/>
                <w:szCs w:val="22"/>
                <w:shd w:val="clear" w:color="auto" w:fill="FFFFFF"/>
              </w:rPr>
              <w:t>- Đại biểu HĐND tỉnh khóa XVIII;</w:t>
            </w:r>
            <w:r>
              <w:rPr>
                <w:sz w:val="22"/>
                <w:szCs w:val="22"/>
              </w:rPr>
              <w:br/>
            </w:r>
            <w:r>
              <w:rPr>
                <w:sz w:val="22"/>
                <w:szCs w:val="22"/>
                <w:shd w:val="clear" w:color="auto" w:fill="FFFFFF"/>
              </w:rPr>
              <w:t>- Các Sở, ban, ngành tỉnh;</w:t>
            </w:r>
            <w:r>
              <w:rPr>
                <w:sz w:val="22"/>
                <w:szCs w:val="22"/>
              </w:rPr>
              <w:br/>
            </w:r>
            <w:r>
              <w:rPr>
                <w:sz w:val="22"/>
                <w:szCs w:val="22"/>
                <w:shd w:val="clear" w:color="auto" w:fill="FFFFFF"/>
              </w:rPr>
              <w:t>- Các VP: Tỉnh ủy, Đoàn ĐBQH&amp;HĐND, UBND tỉnh;</w:t>
            </w:r>
            <w:r>
              <w:rPr>
                <w:sz w:val="22"/>
                <w:szCs w:val="22"/>
              </w:rPr>
              <w:br/>
            </w:r>
            <w:r>
              <w:rPr>
                <w:sz w:val="22"/>
                <w:szCs w:val="22"/>
                <w:shd w:val="clear" w:color="auto" w:fill="FFFFFF"/>
              </w:rPr>
              <w:t>- TT.HĐND, UBND, UBMTTQVN các xã, phường;</w:t>
            </w:r>
          </w:p>
          <w:p>
            <w:pPr>
              <w:spacing w:before="120" w:after="120"/>
              <w:contextualSpacing/>
              <w:rPr>
                <w:sz w:val="22"/>
                <w:szCs w:val="22"/>
                <w:shd w:val="clear" w:color="auto" w:fill="FFFFFF"/>
              </w:rPr>
            </w:pPr>
            <w:r>
              <w:rPr>
                <w:sz w:val="22"/>
                <w:szCs w:val="22"/>
                <w:shd w:val="clear" w:color="auto" w:fill="FFFFFF"/>
              </w:rPr>
              <w:t>- Cổng thông tin điện tử tỉnh, Trung tâm Công báo – TH;</w:t>
            </w:r>
          </w:p>
          <w:p>
            <w:pPr>
              <w:spacing w:before="120" w:after="120"/>
              <w:contextualSpacing/>
              <w:rPr>
                <w:b/>
                <w:i/>
                <w:szCs w:val="28"/>
              </w:rPr>
            </w:pPr>
            <w:r>
              <w:rPr>
                <w:sz w:val="22"/>
                <w:szCs w:val="22"/>
                <w:shd w:val="clear" w:color="auto" w:fill="FFFFFF"/>
              </w:rPr>
              <w:t>- Lưu: VT, HĐ</w:t>
            </w:r>
            <w:r>
              <w:rPr>
                <w:sz w:val="22"/>
                <w:szCs w:val="22"/>
                <w:shd w:val="clear" w:color="auto" w:fill="FFFFFF"/>
                <w:vertAlign w:val="subscript"/>
              </w:rPr>
              <w:t>4</w:t>
            </w:r>
            <w:r>
              <w:rPr>
                <w:sz w:val="22"/>
                <w:szCs w:val="22"/>
                <w:shd w:val="clear" w:color="auto" w:fill="FFFFFF"/>
              </w:rPr>
              <w:t>, TH, TH</w:t>
            </w:r>
            <w:r>
              <w:rPr>
                <w:sz w:val="22"/>
                <w:szCs w:val="22"/>
                <w:shd w:val="clear" w:color="auto" w:fill="FFFFFF"/>
                <w:vertAlign w:val="subscript"/>
              </w:rPr>
              <w:t>3.</w:t>
            </w:r>
          </w:p>
        </w:tc>
        <w:tc>
          <w:tcPr>
            <w:tcW w:w="4002" w:type="dxa"/>
          </w:tcPr>
          <w:p>
            <w:pPr>
              <w:spacing w:before="120" w:after="120"/>
              <w:contextualSpacing/>
              <w:jc w:val="center"/>
              <w:rPr>
                <w:b/>
                <w:szCs w:val="28"/>
              </w:rPr>
            </w:pPr>
            <w:r>
              <w:rPr>
                <w:b/>
                <w:szCs w:val="28"/>
              </w:rPr>
              <w:t>CHỦ TỊCH</w:t>
            </w:r>
          </w:p>
          <w:p>
            <w:pPr>
              <w:spacing w:before="120" w:after="120"/>
              <w:contextualSpacing/>
              <w:jc w:val="center"/>
              <w:rPr>
                <w:b/>
                <w:szCs w:val="28"/>
              </w:rPr>
            </w:pPr>
          </w:p>
          <w:p>
            <w:pPr>
              <w:spacing w:before="120" w:after="120"/>
              <w:contextualSpacing/>
              <w:jc w:val="center"/>
              <w:rPr>
                <w:b/>
                <w:szCs w:val="28"/>
              </w:rPr>
            </w:pPr>
          </w:p>
          <w:p>
            <w:pPr>
              <w:spacing w:before="120" w:after="120"/>
              <w:contextualSpacing/>
              <w:jc w:val="center"/>
              <w:rPr>
                <w:b/>
                <w:szCs w:val="28"/>
              </w:rPr>
            </w:pPr>
          </w:p>
          <w:p>
            <w:pPr>
              <w:spacing w:before="120" w:after="120"/>
              <w:contextualSpacing/>
              <w:jc w:val="center"/>
              <w:rPr>
                <w:b/>
                <w:szCs w:val="28"/>
              </w:rPr>
            </w:pPr>
          </w:p>
          <w:p>
            <w:pPr>
              <w:spacing w:before="120" w:after="120"/>
              <w:contextualSpacing/>
              <w:jc w:val="center"/>
              <w:rPr>
                <w:b/>
                <w:szCs w:val="28"/>
              </w:rPr>
            </w:pPr>
          </w:p>
          <w:p>
            <w:pPr>
              <w:spacing w:before="120" w:after="120"/>
              <w:contextualSpacing/>
              <w:jc w:val="center"/>
              <w:rPr>
                <w:b/>
                <w:szCs w:val="28"/>
              </w:rPr>
            </w:pPr>
          </w:p>
          <w:p>
            <w:pPr>
              <w:spacing w:before="120" w:after="120"/>
              <w:contextualSpacing/>
              <w:jc w:val="center"/>
              <w:rPr>
                <w:b/>
                <w:szCs w:val="28"/>
              </w:rPr>
            </w:pPr>
          </w:p>
          <w:p>
            <w:pPr>
              <w:spacing w:before="120" w:after="120"/>
              <w:contextualSpacing/>
              <w:jc w:val="center"/>
              <w:rPr>
                <w:b/>
                <w:szCs w:val="28"/>
              </w:rPr>
            </w:pPr>
            <w:r>
              <w:rPr>
                <w:b/>
                <w:sz w:val="28"/>
                <w:szCs w:val="32"/>
              </w:rPr>
              <w:t>Nguyễn Hồng Lĩnh</w:t>
            </w:r>
          </w:p>
        </w:tc>
      </w:tr>
    </w:tbl>
    <w:p>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contextualSpacing/>
        <w:jc w:val="both"/>
        <w:rPr>
          <w:b/>
          <w:bCs/>
          <w:sz w:val="28"/>
          <w:szCs w:val="28"/>
        </w:rPr>
      </w:pPr>
    </w:p>
    <w:sectPr>
      <w:headerReference w:type="default" r:id="rId6"/>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jc w:val="center"/>
    </w:pPr>
    <w:r>
      <w:fldChar w:fldCharType="begin"/>
    </w:r>
    <w:r>
      <w:instrText xml:space="preserve"> PAGE   \* MERGEFORMAT </w:instrText>
    </w:r>
    <w:r>
      <w:fldChar w:fldCharType="separate"/>
    </w:r>
    <w:r>
      <w:rPr>
        <w:noProof/>
      </w:rPr>
      <w:t>2</w:t>
    </w:r>
    <w:r>
      <w:rPr>
        <w:noProof/>
      </w:rPr>
      <w:fldChar w:fldCharType="end"/>
    </w:r>
  </w:p>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FC3E7B-FAE2-4A24-BAF8-B84054EE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vi-VN" w:eastAsia="vi-VN"/>
    </w:rPr>
  </w:style>
  <w:style w:type="character" w:styleId="Hyperlink">
    <w:name w:val="Hyperlink"/>
    <w:basedOn w:val="DefaultParagraphFont"/>
    <w:uiPriority w:val="99"/>
    <w:unhideWhenUsed/>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pPr>
      <w:ind w:left="720"/>
      <w:contextualSpacing/>
    </w:pPr>
  </w:style>
  <w:style w:type="character" w:customStyle="1" w:styleId="fontstyle01">
    <w:name w:val="fontstyle01"/>
    <w:basedOn w:val="DefaultParagraphFont"/>
    <w:rPr>
      <w:rFonts w:ascii="TimesNewRomanPS-ItalicMT" w:hAnsi="TimesNewRomanPS-ItalicMT" w:hint="default"/>
      <w:b w:val="0"/>
      <w:bCs w:val="0"/>
      <w:i/>
      <w:iCs/>
      <w:color w:val="000000"/>
      <w:sz w:val="28"/>
      <w:szCs w:val="28"/>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3334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Cường Nguyễn Quang</dc:creator>
  <cp:keywords/>
  <dc:description/>
  <cp:lastModifiedBy>admin</cp:lastModifiedBy>
  <cp:revision>2</cp:revision>
  <dcterms:created xsi:type="dcterms:W3CDTF">2025-12-05T07:15:00Z</dcterms:created>
  <dcterms:modified xsi:type="dcterms:W3CDTF">2025-12-05T07:15:00Z</dcterms:modified>
</cp:coreProperties>
</file>